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LTCS Governance Committee Agenda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January 12, 2023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ff"/>
          <w:u w:val="single"/>
        </w:rPr>
      </w:pPr>
      <w:r w:rsidDel="00000000" w:rsidR="00000000" w:rsidRPr="00000000">
        <w:rPr>
          <w:u w:val="singl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https://zoom.us/j/9859672046?pwd=RXBFRkMzc2F5T09MTkU1TnVmMVZ4QT09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5"/>
        <w:gridCol w:w="7560"/>
        <w:tblGridChange w:id="0">
          <w:tblGrid>
            <w:gridCol w:w="7195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Topic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Meeting Notes / Previous Sessions Comments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Call To Order – 5:00pm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  <w:t xml:space="preserve">Attending:  Vimal Patel, Michelle Hamner, Ashley Busby, Jeremy Tuck, Javier Revelo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Recruitment (ASHLEY)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Size of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Goal =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Current = </w:t>
            </w: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Minimum =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Candidates =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Priority Professions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Finance (priority)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Lawyer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Candidate update: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Candidates in early stages </w:t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Javier joined 1/12/2023 Governance Committee meeting</w:t>
            </w:r>
          </w:p>
          <w:p w:rsidR="00000000" w:rsidDel="00000000" w:rsidP="00000000" w:rsidRDefault="00000000" w:rsidRPr="00000000" w14:paraId="00000015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word from Dr. Stone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Local Events: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Utilize Exhibition night for Sub-Committees recruit in future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Next in early March 10th 23 - discuss plans in Feb 2023 Governance Committee meeting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Will approach in 2022-23 SY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List exists candidates for Board ‘pool’ or Board bank that may exist – from SCSC newsletter - Ashley will research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Ashley to connect with Principal King on: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Get in on communication via Digital Media - this is asking Principal King to include info in school newsletters - Ashley will follow-up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SCSC Required Training for Board 2022-2023 (ASHLEY)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February 7-8 – Athens, GA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April 12-13 – Atlanta, GA</w:t>
            </w:r>
          </w:p>
          <w:p w:rsidR="00000000" w:rsidDel="00000000" w:rsidP="00000000" w:rsidRDefault="00000000" w:rsidRPr="00000000" w14:paraId="00000020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https://scsc.georgia.gov/governance-training-requirement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*doesn’t conflict with winter or spring break at the school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Ashley hasn’t heard from any board members on their training schedule - will follow-up.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Activities Calendar (MICHELLE)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board recruitment policy in Feb Gov Comm meeting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First Draft developed.  Update as Necessary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Updated and send to committee chairs for input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Flag January calendar items for Lauren - principal salary/evaluation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Need Sub-committee for King salary/evaluation - Lauren + her recommended sub-committee members (possibly Neka and Ashley) - Michelle will follow-up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Annual Registration - reminder to Mrs. King, Lauren, and maybe Neva? Vimal will follow-up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Find board recruitment policy - does it need updating? Vimal will look for 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Updating School Policies (MICHELLE)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</w:t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 website/policies that were recently approved – discussed Rochelle to update.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Review Alternative School – added to Bullying policy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 right to know law –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Procedure for Handling Challenged or Questioned Books and Materials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 Removal – Mr. Schoening to review with J. Pollard for suggestions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Current Policy has mark-up about ¼ of the Board Policy for editing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Discussed having first section sent initial section for review.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Discuss how to make policy manual v2.8. easier and accessible – 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Discussed each policy is a broken down by section to make it easier to find/adjust – (still reviewing)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 Tasks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Load missing agendas &amp; minutes from past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Ensure attendance is tracked by updating and uploading meeting minutes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is going to follow-up on committee agendas and minutes to committee chairs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Subcommittee Progress / Long-Term Board Tasks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Initiate long-term building for school (VIMAL / ERIC)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Curriculum Adoption Policy – New Policy (TBD)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Align with Strategic Plan that is currently being developed.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and Lauren met with Fayette Co. about lease negotiations and modifications.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Curriculum Adoption Policy –  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moved to Academic Committee discussion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.  Will share with Governance by June for adoption prior to adding vote on July board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Notes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4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Adjourn - 6:00pm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Adjourned at 5:48 PM</w:t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Next Meeting Scheduled for:  Feb 9th 5pm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smallCaps w:val="1"/>
        <w:color w:val="4472c4"/>
      </w:rPr>
    </w:pPr>
    <w:r w:rsidDel="00000000" w:rsidR="00000000" w:rsidRPr="00000000">
      <w:rPr>
        <w:smallCaps w:val="1"/>
        <w:color w:val="4472c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b="0" l="0" r="0" t="0"/>
          <wp:wrapSquare wrapText="bothSides" distB="0" distT="0" distL="114300" distR="114300"/>
          <wp:docPr descr="Shape, circle&#10;&#10;Description automatically generated" id="4" name="image1.jp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6974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6D3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E5D1B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3DD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AnDaIwRvT9-JLRGpfGlKSC8DtyxW7w5ywLWmOzcZ9FY/edit?usp=sharin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59672046?pwd=RXBFRkMzc2F5T09MTkU1TnVmMVZ4QT09" TargetMode="External"/><Relationship Id="rId8" Type="http://schemas.openxmlformats.org/officeDocument/2006/relationships/hyperlink" Target="https://scsc.georgia.gov/governance-training-require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fdoFLQqSzpT6p85JLn2I3imY5Q==">AMUW2mWuG5ySEgvvWvPjZ9+yiPqQ2NsHknc+CBVvYdtxRsY86RGIryXToUktK1ujynBLSg0OXvCqXkK2gpJeAhy6dKpvfgGhW0aoJ9e05mFsfpBFT9cSnrU=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2021-11-16T13:51:00Z</dcterms:created>
  <dc:creator>Kenneth Hamner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